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firstLine="640"/>
        <w:jc w:val="center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科研经费报销流程与要求</w:t>
      </w:r>
    </w:p>
    <w:tbl>
      <w:tblPr>
        <w:tblStyle w:val="3"/>
        <w:tblpPr w:leftFromText="180" w:rightFromText="180" w:vertAnchor="text" w:tblpX="77" w:tblpY="3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528"/>
        <w:gridCol w:w="3091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44" w:type="dxa"/>
          </w:tcPr>
          <w:p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一次性付款或报销金额</w:t>
            </w:r>
          </w:p>
        </w:tc>
        <w:tc>
          <w:tcPr>
            <w:tcW w:w="2528" w:type="dxa"/>
          </w:tcPr>
          <w:p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签批流程</w:t>
            </w:r>
          </w:p>
        </w:tc>
        <w:tc>
          <w:tcPr>
            <w:tcW w:w="3091" w:type="dxa"/>
          </w:tcPr>
          <w:p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附件材料</w:t>
            </w:r>
          </w:p>
        </w:tc>
        <w:tc>
          <w:tcPr>
            <w:tcW w:w="1159" w:type="dxa"/>
          </w:tcPr>
          <w:p>
            <w:pPr>
              <w:widowControl w:val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44" w:type="dxa"/>
          </w:tcPr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3000元以下</w:t>
            </w:r>
          </w:p>
        </w:tc>
        <w:tc>
          <w:tcPr>
            <w:tcW w:w="2528" w:type="dxa"/>
          </w:tcPr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归口部门负责人审批</w:t>
            </w:r>
          </w:p>
        </w:tc>
        <w:tc>
          <w:tcPr>
            <w:tcW w:w="3091" w:type="dxa"/>
            <w:vMerge w:val="restart"/>
          </w:tcPr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所有报销事项除必须附上票据、公务卡消费记录（或非公务卡使用申请）、经费预算表（不需预算的则不必附），根据报销细目还须附上以下材料：</w:t>
            </w:r>
          </w:p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版面费报销：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录用通知或已发表论文封面、目录和正文；</w:t>
            </w:r>
          </w:p>
          <w:p>
            <w:pPr>
              <w:widowControl w:val="0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图书资料报销：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已签字的图书购买申购单、图书入库单（图文信息中心开具）、资产入库单、购买清单。（横向项目若需要采购图书资料则按照项目协议规定执行，不必填写图书入库单和资产入库单）</w:t>
            </w:r>
          </w:p>
          <w:p>
            <w:pPr>
              <w:widowControl w:val="0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设备采购：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按照《重庆城市职业学院固定资产管理办法》提供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资产申购单、资产入库单。</w:t>
            </w:r>
          </w:p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差旅/会议费：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已签字的科研调研申请单/同意参会的会议通知；自行举办科研会议的附上科研会议费结算表，消费的详细清单；</w:t>
            </w:r>
          </w:p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劳务费/专家咨询费：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已签字的劳务费/专家咨询费审批表；重庆城市职业学院（校外）专家劳务/咨询费发放申请表；横向项目中若涉及学生劳务费发放，须附上学生参与项目的佐证材料（学生身份信息、参与项目的具体方案、参与项目的相关图片或考勤表、签到表，劳务费发放申请表）</w:t>
            </w:r>
          </w:p>
        </w:tc>
        <w:tc>
          <w:tcPr>
            <w:tcW w:w="1159" w:type="dxa"/>
            <w:vMerge w:val="restart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1.项目预算表须注明已开支情况。</w:t>
            </w:r>
          </w:p>
          <w:p>
            <w:pPr>
              <w:widowControl w:val="0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2.在财务报销系统中“报销事由”处须填上项目名称和编号。</w:t>
            </w:r>
          </w:p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3.发票需要进行验真使用。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44" w:type="dxa"/>
          </w:tcPr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3000元-20000元</w:t>
            </w:r>
          </w:p>
        </w:tc>
        <w:tc>
          <w:tcPr>
            <w:tcW w:w="2528" w:type="dxa"/>
          </w:tcPr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分管校领导</w:t>
            </w:r>
          </w:p>
        </w:tc>
        <w:tc>
          <w:tcPr>
            <w:tcW w:w="3091" w:type="dxa"/>
            <w:vMerge w:val="continue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Merge w:val="continue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44" w:type="dxa"/>
          </w:tcPr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20000元-50000元</w:t>
            </w:r>
          </w:p>
        </w:tc>
        <w:tc>
          <w:tcPr>
            <w:tcW w:w="2528" w:type="dxa"/>
          </w:tcPr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分管校领导和分管财务校领导会签</w:t>
            </w:r>
          </w:p>
        </w:tc>
        <w:tc>
          <w:tcPr>
            <w:tcW w:w="3091" w:type="dxa"/>
            <w:vMerge w:val="continue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Merge w:val="continue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44" w:type="dxa"/>
          </w:tcPr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50000元-100000元</w:t>
            </w:r>
          </w:p>
        </w:tc>
        <w:tc>
          <w:tcPr>
            <w:tcW w:w="2528" w:type="dxa"/>
            <w:vAlign w:val="top"/>
          </w:tcPr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kern w:val="2"/>
                <w:sz w:val="21"/>
                <w:szCs w:val="21"/>
                <w:vertAlign w:val="baseline"/>
                <w:lang w:val="en-US" w:eastAsia="zh-CN" w:bidi="ar-SA"/>
              </w:rPr>
              <w:t>（不含10万元）分管校领导和分管财务校领导会签后校长审批</w:t>
            </w:r>
          </w:p>
        </w:tc>
        <w:tc>
          <w:tcPr>
            <w:tcW w:w="3091" w:type="dxa"/>
            <w:vMerge w:val="continue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Merge w:val="continue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744" w:type="dxa"/>
          </w:tcPr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100000-1000000元</w:t>
            </w:r>
          </w:p>
        </w:tc>
        <w:tc>
          <w:tcPr>
            <w:tcW w:w="2528" w:type="dxa"/>
          </w:tcPr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（含10万元）分管校领导、分管财务校领导会签后校长审批（须经过校长办公会审核）</w:t>
            </w:r>
          </w:p>
        </w:tc>
        <w:tc>
          <w:tcPr>
            <w:tcW w:w="3091" w:type="dxa"/>
            <w:vMerge w:val="continue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Merge w:val="continue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28" w:hRule="atLeast"/>
        </w:trPr>
        <w:tc>
          <w:tcPr>
            <w:tcW w:w="1744" w:type="dxa"/>
          </w:tcPr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1000000元以上和预算外支出</w:t>
            </w:r>
          </w:p>
        </w:tc>
        <w:tc>
          <w:tcPr>
            <w:tcW w:w="2528" w:type="dxa"/>
          </w:tcPr>
          <w:p>
            <w:pPr>
              <w:widowControl w:val="0"/>
              <w:rPr>
                <w:rFonts w:hint="default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  <w:t>（含100万元）和预算外支出由分管校领导、分管财务校领导会签后校长、党委书记审批（已签订经济合同的由院长审批）（须经过学校党委会审定）</w:t>
            </w:r>
          </w:p>
        </w:tc>
        <w:tc>
          <w:tcPr>
            <w:tcW w:w="3091" w:type="dxa"/>
            <w:vMerge w:val="continue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Merge w:val="continue"/>
          </w:tcPr>
          <w:p>
            <w:pPr>
              <w:widowControl w:val="0"/>
              <w:rPr>
                <w:rFonts w:hint="eastAsia" w:ascii="方正仿宋_GBK" w:hAnsi="方正仿宋_GBK" w:eastAsia="方正仿宋_GBK" w:cs="方正仿宋_GBK"/>
                <w:color w:val="auto"/>
                <w:spacing w:val="-4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before="341" w:line="303" w:lineRule="auto"/>
        <w:ind w:right="114" w:firstLine="634"/>
        <w:rPr>
          <w:rFonts w:hint="eastAsia" w:ascii="方正仿宋_GBK" w:hAnsi="方正仿宋_GBK" w:eastAsia="方正仿宋_GBK" w:cs="方正仿宋_GBK"/>
          <w:color w:val="333333"/>
          <w:spacing w:val="-8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617729-9393-4EF8-B4D4-8B5B1209309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25AB971-DFD8-421A-92C3-17D2C81F967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CB88BD7-F623-4E98-B168-CAC9CC27728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WYxYzVhYzdkY2NhOGE0MTY1NGU0MDRjNDI5ZDcifQ=="/>
  </w:docVars>
  <w:rsids>
    <w:rsidRoot w:val="50541766"/>
    <w:rsid w:val="5054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2022-06-09T02:47:00Z</dcterms:created>
  <dc:creator>沈霞</dc:creator>
  <cp:lastModifiedBy>沈霞</cp:lastModifiedBy>
  <dcterms:modified xsi:type="dcterms:W3CDTF">2022-06-09T02:47:31Z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329810FEA5AB4A93A58059E16ACC25C0</vt:lpwstr>
  </property>
</Properties>
</file>