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hAnsi="微软雅黑" w:eastAsia="方正小标宋_GBK" w:cs="宋体"/>
          <w:b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hAnsi="微软雅黑" w:eastAsia="方正小标宋_GBK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b/>
          <w:color w:val="000000"/>
          <w:kern w:val="0"/>
          <w:sz w:val="44"/>
          <w:szCs w:val="44"/>
        </w:rPr>
        <w:t>重庆市教育科学“十四五”规划</w:t>
      </w:r>
    </w:p>
    <w:p>
      <w:pPr>
        <w:widowControl/>
        <w:shd w:val="clear" w:color="auto" w:fill="FFFFFF"/>
        <w:snapToGrid w:val="0"/>
        <w:spacing w:line="600" w:lineRule="exact"/>
        <w:jc w:val="center"/>
        <w:rPr>
          <w:rFonts w:ascii="方正小标宋_GBK" w:hAnsi="微软雅黑" w:eastAsia="方正小标宋_GBK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微软雅黑" w:eastAsia="方正小标宋_GBK" w:cs="宋体"/>
          <w:b/>
          <w:color w:val="000000"/>
          <w:kern w:val="0"/>
          <w:sz w:val="44"/>
          <w:szCs w:val="44"/>
        </w:rPr>
        <w:t>2021年度课题选题指南</w:t>
      </w:r>
    </w:p>
    <w:p>
      <w:pPr>
        <w:snapToGrid w:val="0"/>
        <w:spacing w:line="600" w:lineRule="exact"/>
        <w:rPr>
          <w:rFonts w:ascii="楷体" w:hAnsi="楷体" w:eastAsia="楷体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2021年是“十四五”规划的开局之年，为更好地发挥教育科研服务决策、创新理论、指导实践和引导舆论的作用，破解我市教育改革与发展中的重点、难点问题，特制定本年度教育科学规划课题指南。</w:t>
      </w:r>
    </w:p>
    <w:p>
      <w:pPr>
        <w:widowControl/>
        <w:shd w:val="clear" w:color="auto" w:fill="FFFFFF"/>
        <w:snapToGrid w:val="0"/>
        <w:spacing w:line="600" w:lineRule="exact"/>
        <w:ind w:firstLine="643" w:firstLineChars="200"/>
        <w:jc w:val="left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一、基础教育研究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1.重庆市0</w:t>
      </w:r>
      <w:r>
        <w:rPr>
          <w:rFonts w:ascii="仿宋" w:hAnsi="仿宋" w:eastAsia="仿宋"/>
          <w:color w:val="000000"/>
          <w:sz w:val="32"/>
          <w:szCs w:val="32"/>
        </w:rPr>
        <w:t>-3</w:t>
      </w:r>
      <w:r>
        <w:rPr>
          <w:rFonts w:hint="eastAsia" w:ascii="仿宋" w:hAnsi="仿宋" w:eastAsia="仿宋"/>
          <w:color w:val="000000"/>
          <w:sz w:val="32"/>
          <w:szCs w:val="32"/>
        </w:rPr>
        <w:t>岁托育服务</w:t>
      </w:r>
      <w:r>
        <w:rPr>
          <w:rFonts w:ascii="仿宋" w:hAnsi="仿宋" w:eastAsia="仿宋"/>
          <w:color w:val="000000"/>
          <w:sz w:val="32"/>
          <w:szCs w:val="32"/>
        </w:rPr>
        <w:t>体系构建</w:t>
      </w:r>
      <w:r>
        <w:rPr>
          <w:rFonts w:hint="eastAsia" w:ascii="仿宋" w:hAnsi="仿宋" w:eastAsia="仿宋"/>
          <w:color w:val="000000"/>
          <w:sz w:val="32"/>
          <w:szCs w:val="32"/>
        </w:rPr>
        <w:t>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.县域</w:t>
      </w:r>
      <w:r>
        <w:rPr>
          <w:rFonts w:ascii="仿宋" w:hAnsi="仿宋" w:eastAsia="仿宋"/>
          <w:color w:val="000000"/>
          <w:sz w:val="32"/>
          <w:szCs w:val="32"/>
        </w:rPr>
        <w:t>普惠性学前教育发展现状</w:t>
      </w:r>
      <w:r>
        <w:rPr>
          <w:rFonts w:hint="eastAsia" w:ascii="仿宋" w:hAnsi="仿宋" w:eastAsia="仿宋"/>
          <w:color w:val="000000"/>
          <w:sz w:val="32"/>
          <w:szCs w:val="32"/>
        </w:rPr>
        <w:t>与对策</w:t>
      </w:r>
      <w:r>
        <w:rPr>
          <w:rFonts w:ascii="仿宋" w:hAnsi="仿宋" w:eastAsia="仿宋"/>
          <w:color w:val="000000"/>
          <w:sz w:val="32"/>
          <w:szCs w:val="32"/>
        </w:rPr>
        <w:t>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高质量</w:t>
      </w:r>
      <w:r>
        <w:rPr>
          <w:rFonts w:ascii="仿宋" w:hAnsi="仿宋" w:eastAsia="仿宋"/>
          <w:color w:val="000000"/>
          <w:sz w:val="32"/>
          <w:szCs w:val="32"/>
        </w:rPr>
        <w:t>视域下</w:t>
      </w:r>
      <w:r>
        <w:rPr>
          <w:rFonts w:hint="eastAsia" w:ascii="仿宋" w:hAnsi="仿宋" w:eastAsia="仿宋"/>
          <w:color w:val="000000"/>
          <w:sz w:val="32"/>
          <w:szCs w:val="32"/>
        </w:rPr>
        <w:t>重庆市幼儿园质量评价标准研究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幼儿园“小学化”倾向</w:t>
      </w:r>
      <w:r>
        <w:rPr>
          <w:rFonts w:ascii="仿宋" w:hAnsi="仿宋" w:eastAsia="仿宋"/>
          <w:color w:val="000000"/>
          <w:sz w:val="32"/>
          <w:szCs w:val="32"/>
        </w:rPr>
        <w:t>治理</w:t>
      </w:r>
      <w:r>
        <w:rPr>
          <w:rFonts w:hint="eastAsia" w:ascii="仿宋" w:hAnsi="仿宋" w:eastAsia="仿宋"/>
          <w:color w:val="000000"/>
          <w:sz w:val="32"/>
          <w:szCs w:val="32"/>
        </w:rPr>
        <w:t>策略</w:t>
      </w:r>
      <w:r>
        <w:rPr>
          <w:rFonts w:ascii="仿宋" w:hAnsi="仿宋" w:eastAsia="仿宋"/>
          <w:color w:val="000000"/>
          <w:sz w:val="32"/>
          <w:szCs w:val="32"/>
        </w:rPr>
        <w:t>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5.</w:t>
      </w:r>
      <w:r>
        <w:rPr>
          <w:rFonts w:hint="eastAsia" w:ascii="仿宋" w:hAnsi="仿宋" w:eastAsia="仿宋"/>
          <w:color w:val="000000"/>
          <w:sz w:val="32"/>
          <w:szCs w:val="32"/>
        </w:rPr>
        <w:t>幼儿园安全教育现状</w:t>
      </w:r>
      <w:r>
        <w:rPr>
          <w:rFonts w:ascii="仿宋" w:hAnsi="仿宋" w:eastAsia="仿宋"/>
          <w:color w:val="000000"/>
          <w:sz w:val="32"/>
          <w:szCs w:val="32"/>
        </w:rPr>
        <w:t>及改进路径</w:t>
      </w:r>
      <w:r>
        <w:rPr>
          <w:rFonts w:hint="eastAsia" w:ascii="仿宋" w:hAnsi="仿宋" w:eastAsia="仿宋"/>
          <w:color w:val="000000"/>
          <w:sz w:val="32"/>
          <w:szCs w:val="32"/>
        </w:rPr>
        <w:t>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6.</w:t>
      </w:r>
      <w:r>
        <w:rPr>
          <w:rFonts w:hint="eastAsia" w:ascii="仿宋" w:hAnsi="仿宋" w:eastAsia="仿宋"/>
          <w:color w:val="000000"/>
          <w:sz w:val="32"/>
          <w:szCs w:val="32"/>
        </w:rPr>
        <w:t>中小学思政课一体化改革创新实践</w:t>
      </w:r>
      <w:r>
        <w:rPr>
          <w:rFonts w:ascii="仿宋" w:hAnsi="仿宋" w:eastAsia="仿宋"/>
          <w:color w:val="000000"/>
          <w:sz w:val="32"/>
          <w:szCs w:val="32"/>
        </w:rPr>
        <w:t>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推动</w:t>
      </w:r>
      <w:r>
        <w:rPr>
          <w:rFonts w:ascii="仿宋" w:hAnsi="仿宋" w:eastAsia="仿宋"/>
          <w:color w:val="000000"/>
          <w:sz w:val="32"/>
          <w:szCs w:val="32"/>
        </w:rPr>
        <w:t>义务教育均衡发展和城乡一体化</w:t>
      </w:r>
      <w:r>
        <w:rPr>
          <w:rFonts w:hint="eastAsia" w:ascii="仿宋" w:hAnsi="仿宋" w:eastAsia="仿宋"/>
          <w:color w:val="000000"/>
          <w:sz w:val="32"/>
          <w:szCs w:val="32"/>
        </w:rPr>
        <w:t>策略</w:t>
      </w:r>
      <w:r>
        <w:rPr>
          <w:rFonts w:ascii="仿宋" w:hAnsi="仿宋" w:eastAsia="仿宋"/>
          <w:color w:val="000000"/>
          <w:sz w:val="32"/>
          <w:szCs w:val="32"/>
        </w:rPr>
        <w:t>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.重庆市中小学集团化办学机制创新研究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9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推进普通高中发展</w:t>
      </w:r>
      <w:r>
        <w:rPr>
          <w:rFonts w:ascii="仿宋" w:hAnsi="仿宋" w:eastAsia="仿宋"/>
          <w:color w:val="000000"/>
          <w:sz w:val="32"/>
          <w:szCs w:val="32"/>
        </w:rPr>
        <w:t>促进计划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实践研究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10.</w:t>
      </w:r>
      <w:r>
        <w:rPr>
          <w:rFonts w:hint="eastAsia" w:ascii="仿宋" w:hAnsi="仿宋" w:eastAsia="仿宋"/>
          <w:color w:val="000000"/>
          <w:sz w:val="32"/>
          <w:szCs w:val="32"/>
        </w:rPr>
        <w:t>素养为本的中小学课程改革实践研究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11</w:t>
      </w:r>
      <w:r>
        <w:rPr>
          <w:rFonts w:hint="eastAsia" w:ascii="仿宋" w:hAnsi="仿宋" w:eastAsia="仿宋"/>
          <w:color w:val="000000"/>
          <w:sz w:val="32"/>
          <w:szCs w:val="32"/>
        </w:rPr>
        <w:t>.新中考导向下的初中</w:t>
      </w:r>
      <w:r>
        <w:rPr>
          <w:rFonts w:ascii="仿宋" w:hAnsi="仿宋" w:eastAsia="仿宋"/>
          <w:color w:val="000000"/>
          <w:sz w:val="32"/>
          <w:szCs w:val="32"/>
        </w:rPr>
        <w:t>课程</w:t>
      </w:r>
      <w:r>
        <w:rPr>
          <w:rFonts w:hint="eastAsia" w:ascii="仿宋" w:hAnsi="仿宋" w:eastAsia="仿宋"/>
          <w:color w:val="000000"/>
          <w:sz w:val="32"/>
          <w:szCs w:val="32"/>
        </w:rPr>
        <w:t>改革</w:t>
      </w:r>
      <w:r>
        <w:rPr>
          <w:rFonts w:ascii="仿宋" w:hAnsi="仿宋" w:eastAsia="仿宋"/>
          <w:color w:val="000000"/>
          <w:sz w:val="32"/>
          <w:szCs w:val="32"/>
        </w:rPr>
        <w:t>实践研究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.新时代中小学三科统编教材“铸魂工程”推进策略研究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.新时代普通高中新课程新教材实施策略研究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14.</w:t>
      </w:r>
      <w:r>
        <w:rPr>
          <w:rFonts w:hint="eastAsia" w:ascii="仿宋" w:hAnsi="仿宋" w:eastAsia="仿宋"/>
          <w:color w:val="000000"/>
          <w:sz w:val="32"/>
          <w:szCs w:val="32"/>
        </w:rPr>
        <w:t>线上线下深度融合的中小学课堂教学方式与学习方式变革研究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.以育人质量为导向的课程教学评价体系</w:t>
      </w:r>
      <w:r>
        <w:rPr>
          <w:rFonts w:ascii="仿宋" w:hAnsi="仿宋" w:eastAsia="仿宋"/>
          <w:color w:val="000000"/>
          <w:sz w:val="32"/>
          <w:szCs w:val="32"/>
        </w:rPr>
        <w:t>建设研究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</w:t>
      </w:r>
      <w:r>
        <w:rPr>
          <w:rFonts w:ascii="仿宋" w:hAnsi="仿宋" w:eastAsia="仿宋"/>
          <w:color w:val="000000"/>
          <w:sz w:val="32"/>
          <w:szCs w:val="32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.中小学综合</w:t>
      </w:r>
      <w:r>
        <w:rPr>
          <w:rFonts w:ascii="仿宋" w:hAnsi="仿宋" w:eastAsia="仿宋"/>
          <w:color w:val="000000"/>
          <w:sz w:val="32"/>
          <w:szCs w:val="32"/>
        </w:rPr>
        <w:t>素质评价</w:t>
      </w:r>
      <w:r>
        <w:rPr>
          <w:rFonts w:hint="eastAsia" w:ascii="仿宋" w:hAnsi="仿宋" w:eastAsia="仿宋"/>
          <w:color w:val="000000"/>
          <w:sz w:val="32"/>
          <w:szCs w:val="32"/>
        </w:rPr>
        <w:t>机制健全</w:t>
      </w:r>
      <w:r>
        <w:rPr>
          <w:rFonts w:ascii="仿宋" w:hAnsi="仿宋" w:eastAsia="仿宋"/>
          <w:color w:val="000000"/>
          <w:sz w:val="32"/>
          <w:szCs w:val="32"/>
        </w:rPr>
        <w:t xml:space="preserve">实践研究 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17.</w:t>
      </w:r>
      <w:r>
        <w:rPr>
          <w:rFonts w:hint="eastAsia" w:ascii="仿宋" w:hAnsi="仿宋" w:eastAsia="仿宋"/>
          <w:color w:val="000000"/>
          <w:sz w:val="32"/>
          <w:szCs w:val="32"/>
        </w:rPr>
        <w:t>高考综合</w:t>
      </w:r>
      <w:r>
        <w:rPr>
          <w:rFonts w:ascii="仿宋" w:hAnsi="仿宋" w:eastAsia="仿宋"/>
          <w:color w:val="000000"/>
          <w:sz w:val="32"/>
          <w:szCs w:val="32"/>
        </w:rPr>
        <w:t>改革实施与评价研究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18.</w:t>
      </w:r>
      <w:r>
        <w:rPr>
          <w:rFonts w:hint="eastAsia" w:ascii="仿宋" w:hAnsi="仿宋" w:eastAsia="仿宋"/>
          <w:color w:val="000000"/>
          <w:sz w:val="32"/>
          <w:szCs w:val="32"/>
        </w:rPr>
        <w:t>高考</w:t>
      </w:r>
      <w:r>
        <w:rPr>
          <w:rFonts w:ascii="仿宋" w:hAnsi="仿宋" w:eastAsia="仿宋"/>
          <w:color w:val="000000"/>
          <w:sz w:val="32"/>
          <w:szCs w:val="32"/>
        </w:rPr>
        <w:t>综合改革背景下高中课程改革实践研究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19.</w:t>
      </w:r>
      <w:r>
        <w:rPr>
          <w:rFonts w:hint="eastAsia" w:ascii="仿宋" w:hAnsi="仿宋" w:eastAsia="仿宋"/>
          <w:color w:val="000000"/>
          <w:sz w:val="32"/>
          <w:szCs w:val="32"/>
        </w:rPr>
        <w:t>高考综合</w:t>
      </w:r>
      <w:r>
        <w:rPr>
          <w:rFonts w:ascii="仿宋" w:hAnsi="仿宋" w:eastAsia="仿宋"/>
          <w:color w:val="000000"/>
          <w:sz w:val="32"/>
          <w:szCs w:val="32"/>
        </w:rPr>
        <w:t>改革背景下高中学校办学条件保障研究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.中小学学科全息育人的区域探索与实践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.中小学学生学业负担监控与</w:t>
      </w:r>
      <w:r>
        <w:rPr>
          <w:rFonts w:ascii="仿宋" w:hAnsi="仿宋" w:eastAsia="仿宋"/>
          <w:color w:val="000000"/>
          <w:sz w:val="32"/>
          <w:szCs w:val="32"/>
        </w:rPr>
        <w:t>精准减负</w:t>
      </w:r>
      <w:r>
        <w:rPr>
          <w:rFonts w:hint="eastAsia" w:ascii="仿宋" w:hAnsi="仿宋" w:eastAsia="仿宋"/>
          <w:color w:val="000000"/>
          <w:sz w:val="32"/>
          <w:szCs w:val="32"/>
        </w:rPr>
        <w:t>研究</w:t>
      </w:r>
    </w:p>
    <w:p>
      <w:pPr>
        <w:widowControl/>
        <w:shd w:val="clear" w:color="auto" w:fill="FFFFFF"/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.“三残”儿童少年随班就读的</w:t>
      </w:r>
      <w:r>
        <w:rPr>
          <w:rFonts w:ascii="仿宋" w:hAnsi="仿宋" w:eastAsia="仿宋"/>
          <w:color w:val="000000"/>
          <w:sz w:val="32"/>
          <w:szCs w:val="32"/>
        </w:rPr>
        <w:t>制度创新与政策</w:t>
      </w:r>
      <w:r>
        <w:rPr>
          <w:rFonts w:hint="eastAsia" w:ascii="仿宋" w:hAnsi="仿宋" w:eastAsia="仿宋"/>
          <w:color w:val="000000"/>
          <w:sz w:val="32"/>
          <w:szCs w:val="32"/>
        </w:rPr>
        <w:t>保障研究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23.基础教育阶段S</w:t>
      </w:r>
      <w:r>
        <w:rPr>
          <w:rFonts w:ascii="仿宋" w:hAnsi="仿宋" w:eastAsia="仿宋"/>
          <w:color w:val="000000"/>
          <w:sz w:val="32"/>
          <w:szCs w:val="32"/>
        </w:rPr>
        <w:t>TEM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教育的区域探索与实践研究 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widowControl/>
        <w:shd w:val="clear" w:color="auto" w:fill="FFFFFF"/>
        <w:snapToGrid w:val="0"/>
        <w:spacing w:line="600" w:lineRule="exact"/>
        <w:ind w:firstLine="643" w:firstLineChars="200"/>
        <w:jc w:val="left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二、职业教育研究</w:t>
      </w:r>
    </w:p>
    <w:p>
      <w:pPr>
        <w:widowControl/>
        <w:shd w:val="clear" w:color="auto" w:fill="FFFFFF"/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24.新发展格局下职业技术教育的使命与策略研究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5.现代职业教育体系建设的制度性障碍与破解策略研究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26.现代职业教育体系建设背景下职普融通路径研究 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27.职业院校“课程思政”模式探索与实践策略研究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28.职业院校实施“三全育人”的实践模式实践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29.基于课堂革命的职业教育“三教”改革与实践研究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30.职业院校劳动教育与专业建设的融合研究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31.类型教育视域下职业教育人才贯通培养模式研究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32.高职院校劳模精神、劳动精神、工匠精神融合培育研究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33.中国特色学徒制的内涵与实践路径研究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34.职业教育支持服务体系建设与能力提升研究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35.产教融合背景下职业院校技术创新与成果转化研究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36.职业教育“育训”并举促进劳动力就业创业策略研究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37.新时代职业技术教育评价改革及其体系建设研究</w:t>
      </w:r>
    </w:p>
    <w:p>
      <w:pPr>
        <w:snapToGrid w:val="0"/>
        <w:spacing w:line="600" w:lineRule="exact"/>
        <w:ind w:left="638" w:leftChars="304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38.类型教育背景下职业教育高考制度改革研究 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39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成渝地区双城经济圈建设背景下重庆职业教育产教融合机制研究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40.成渝地区双城经济圈技术技能人才协同培养研究</w:t>
      </w:r>
    </w:p>
    <w:p>
      <w:pPr>
        <w:widowControl/>
        <w:shd w:val="clear" w:color="auto" w:fill="FFFFFF"/>
        <w:snapToGrid w:val="0"/>
        <w:spacing w:line="600" w:lineRule="exact"/>
        <w:ind w:firstLine="643" w:firstLineChars="200"/>
        <w:jc w:val="left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三、高等教育研究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41.重庆市高等教育高质量发展理论与实践研究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42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重庆市高校课程思政建设路径与策略研究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43.基于“三全育人”的大学生积极心理品质培养研究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44.重庆市高校立德树人评价体系研究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45.新时代高等师范院校学科专业建设研究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46.高校特殊人才计划与区域人才发展战略研究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47.重庆市高校学分互认与转换模式研究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48.新时代推进高等院校产教融合激励制度体系研究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49.重庆市高校创新创业指导体系研究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50.新国际形势下高等教育国际化路径与策略研究</w:t>
      </w:r>
    </w:p>
    <w:p>
      <w:pPr>
        <w:snapToGrid w:val="0"/>
        <w:spacing w:line="600" w:lineRule="exact"/>
        <w:ind w:firstLine="614" w:firstLineChars="200"/>
        <w:jc w:val="left"/>
        <w:rPr>
          <w:rFonts w:ascii="仿宋" w:hAnsi="仿宋" w:eastAsia="仿宋"/>
          <w:color w:val="000000"/>
          <w:w w:val="96"/>
          <w:sz w:val="32"/>
          <w:szCs w:val="32"/>
        </w:rPr>
      </w:pPr>
      <w:r>
        <w:rPr>
          <w:rFonts w:hint="eastAsia" w:ascii="仿宋" w:hAnsi="仿宋" w:eastAsia="仿宋"/>
          <w:color w:val="000000"/>
          <w:w w:val="96"/>
          <w:sz w:val="32"/>
          <w:szCs w:val="32"/>
        </w:rPr>
        <w:t>51.重庆市高等教育与“一区两群”产业经济协同发展战略研究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52.重庆市高校新型智库建设研究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53.成渝地区双城经济圈高等教育一体化建设研究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54.高考</w:t>
      </w:r>
      <w:r>
        <w:rPr>
          <w:rFonts w:ascii="仿宋" w:hAnsi="仿宋" w:eastAsia="仿宋"/>
          <w:color w:val="000000"/>
          <w:sz w:val="32"/>
          <w:szCs w:val="32"/>
        </w:rPr>
        <w:t>综合改革背景下</w:t>
      </w:r>
      <w:r>
        <w:rPr>
          <w:rFonts w:hint="eastAsia" w:ascii="仿宋" w:hAnsi="仿宋" w:eastAsia="仿宋"/>
          <w:color w:val="000000"/>
          <w:sz w:val="32"/>
          <w:szCs w:val="32"/>
        </w:rPr>
        <w:t>高校</w:t>
      </w:r>
      <w:r>
        <w:rPr>
          <w:rFonts w:ascii="仿宋" w:hAnsi="仿宋" w:eastAsia="仿宋"/>
          <w:color w:val="000000"/>
          <w:sz w:val="32"/>
          <w:szCs w:val="32"/>
        </w:rPr>
        <w:t>人才培养模式</w:t>
      </w:r>
      <w:r>
        <w:rPr>
          <w:rFonts w:hint="eastAsia" w:ascii="仿宋" w:hAnsi="仿宋" w:eastAsia="仿宋"/>
          <w:color w:val="000000"/>
          <w:sz w:val="32"/>
          <w:szCs w:val="32"/>
        </w:rPr>
        <w:t>改革</w:t>
      </w:r>
      <w:r>
        <w:rPr>
          <w:rFonts w:ascii="仿宋" w:hAnsi="仿宋" w:eastAsia="仿宋"/>
          <w:color w:val="000000"/>
          <w:sz w:val="32"/>
          <w:szCs w:val="32"/>
        </w:rPr>
        <w:t>研究</w:t>
      </w:r>
    </w:p>
    <w:p>
      <w:pPr>
        <w:widowControl/>
        <w:shd w:val="clear" w:color="auto" w:fill="FFFFFF"/>
        <w:snapToGrid w:val="0"/>
        <w:spacing w:line="600" w:lineRule="exact"/>
        <w:ind w:firstLine="643" w:firstLineChars="200"/>
        <w:jc w:val="left"/>
        <w:rPr>
          <w:rFonts w:ascii="黑体" w:hAnsi="黑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四、综合研究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55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新时代“五育”融合实践</w:t>
      </w:r>
      <w:r>
        <w:rPr>
          <w:rFonts w:ascii="仿宋" w:hAnsi="仿宋" w:eastAsia="仿宋"/>
          <w:color w:val="000000"/>
          <w:sz w:val="32"/>
          <w:szCs w:val="32"/>
        </w:rPr>
        <w:t>路径与评价改革</w:t>
      </w:r>
      <w:r>
        <w:rPr>
          <w:rFonts w:hint="eastAsia" w:ascii="仿宋" w:hAnsi="仿宋" w:eastAsia="仿宋"/>
          <w:color w:val="000000"/>
          <w:sz w:val="32"/>
          <w:szCs w:val="32"/>
        </w:rPr>
        <w:t>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56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健全学校、家庭、社会协同育人机制研究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57.大中小幼德育一体化及课程体系建构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58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学生</w:t>
      </w:r>
      <w:r>
        <w:rPr>
          <w:rFonts w:ascii="仿宋" w:hAnsi="仿宋" w:eastAsia="仿宋"/>
          <w:color w:val="000000"/>
          <w:sz w:val="32"/>
          <w:szCs w:val="32"/>
        </w:rPr>
        <w:t>发展</w:t>
      </w:r>
      <w:r>
        <w:rPr>
          <w:rFonts w:hint="eastAsia" w:ascii="仿宋" w:hAnsi="仿宋" w:eastAsia="仿宋"/>
          <w:color w:val="000000"/>
          <w:sz w:val="32"/>
          <w:szCs w:val="32"/>
        </w:rPr>
        <w:t>核心素养落实机制研究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5</w:t>
      </w:r>
      <w:r>
        <w:rPr>
          <w:rFonts w:hint="eastAsia" w:ascii="仿宋" w:hAnsi="仿宋" w:eastAsia="仿宋"/>
          <w:color w:val="000000"/>
          <w:sz w:val="32"/>
          <w:szCs w:val="32"/>
        </w:rPr>
        <w:t>9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优秀传统</w:t>
      </w:r>
      <w:r>
        <w:rPr>
          <w:rFonts w:ascii="仿宋" w:hAnsi="仿宋" w:eastAsia="仿宋"/>
          <w:color w:val="000000"/>
          <w:sz w:val="32"/>
          <w:szCs w:val="32"/>
        </w:rPr>
        <w:t>文化</w:t>
      </w:r>
      <w:r>
        <w:rPr>
          <w:rFonts w:hint="eastAsia" w:ascii="仿宋" w:hAnsi="仿宋" w:eastAsia="仿宋"/>
          <w:color w:val="000000"/>
          <w:sz w:val="32"/>
          <w:szCs w:val="32"/>
        </w:rPr>
        <w:t>教育</w:t>
      </w:r>
      <w:r>
        <w:rPr>
          <w:rFonts w:ascii="仿宋" w:hAnsi="仿宋" w:eastAsia="仿宋"/>
          <w:color w:val="000000"/>
          <w:sz w:val="32"/>
          <w:szCs w:val="32"/>
        </w:rPr>
        <w:t>实践研究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60.新时期学校文化自信培育研究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61.大中小幼心理健康教育研究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62.新时期研学旅行课程化建设研究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63.新时期学校德育表现性评价研究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64.新时期班主任队伍专业能力培育研究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65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重庆市民族</w:t>
      </w:r>
      <w:r>
        <w:rPr>
          <w:rFonts w:ascii="仿宋" w:hAnsi="仿宋" w:eastAsia="仿宋"/>
          <w:color w:val="000000"/>
          <w:sz w:val="32"/>
          <w:szCs w:val="32"/>
        </w:rPr>
        <w:t>地区国家通用</w:t>
      </w:r>
      <w:r>
        <w:rPr>
          <w:rFonts w:hint="eastAsia" w:ascii="仿宋" w:hAnsi="仿宋" w:eastAsia="仿宋"/>
          <w:color w:val="000000"/>
          <w:sz w:val="32"/>
          <w:szCs w:val="32"/>
        </w:rPr>
        <w:t>语言文字普及攻坚研究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66.创新人才培养的学校实践研究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67.老年教育城乡一体化策略研究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68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新时代教师评价与激励机制</w:t>
      </w:r>
      <w:r>
        <w:rPr>
          <w:rFonts w:ascii="仿宋" w:hAnsi="仿宋" w:eastAsia="仿宋"/>
          <w:color w:val="000000"/>
          <w:sz w:val="32"/>
          <w:szCs w:val="32"/>
        </w:rPr>
        <w:t>研究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69.新时代重庆市乡村教师队伍建设</w:t>
      </w:r>
      <w:r>
        <w:rPr>
          <w:rFonts w:ascii="仿宋" w:hAnsi="仿宋" w:eastAsia="仿宋"/>
          <w:color w:val="000000"/>
          <w:sz w:val="32"/>
          <w:szCs w:val="32"/>
        </w:rPr>
        <w:t>与转型</w:t>
      </w:r>
      <w:r>
        <w:rPr>
          <w:rFonts w:hint="eastAsia" w:ascii="仿宋" w:hAnsi="仿宋" w:eastAsia="仿宋"/>
          <w:color w:val="000000"/>
          <w:sz w:val="32"/>
          <w:szCs w:val="32"/>
        </w:rPr>
        <w:t>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70.新时代中小学教科研体系及教研队伍建设研究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71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重庆市区域教师研训机构能力建设的实践研究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72.成渝地区双城经济圈教学研修共同体协作机制研究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73.教育现代化2035背景下未来学校建设与应用研究</w:t>
      </w:r>
    </w:p>
    <w:p>
      <w:pPr>
        <w:snapToGrid w:val="0"/>
        <w:spacing w:line="600" w:lineRule="exact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74</w:t>
      </w:r>
      <w:r>
        <w:rPr>
          <w:rFonts w:ascii="仿宋" w:hAnsi="仿宋" w:eastAsia="仿宋"/>
          <w:color w:val="000000"/>
          <w:sz w:val="32"/>
          <w:szCs w:val="32"/>
        </w:rPr>
        <w:t>.</w:t>
      </w:r>
      <w:r>
        <w:rPr>
          <w:rFonts w:hint="eastAsia" w:ascii="仿宋" w:hAnsi="仿宋" w:eastAsia="仿宋"/>
          <w:color w:val="000000"/>
          <w:sz w:val="32"/>
          <w:szCs w:val="32"/>
        </w:rPr>
        <w:t>智能时代教育大数据管理模式</w:t>
      </w:r>
      <w:r>
        <w:rPr>
          <w:rFonts w:ascii="仿宋" w:hAnsi="仿宋" w:eastAsia="仿宋"/>
          <w:color w:val="000000"/>
          <w:sz w:val="32"/>
          <w:szCs w:val="32"/>
        </w:rPr>
        <w:t>应用研</w:t>
      </w:r>
      <w:r>
        <w:rPr>
          <w:rFonts w:hint="eastAsia" w:ascii="仿宋" w:hAnsi="仿宋" w:eastAsia="仿宋"/>
          <w:color w:val="000000"/>
          <w:sz w:val="32"/>
          <w:szCs w:val="32"/>
        </w:rPr>
        <w:t>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75.教育综合改革与区域教育创新发展研究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76.新时代民办教育</w:t>
      </w:r>
      <w:r>
        <w:rPr>
          <w:rFonts w:ascii="仿宋" w:hAnsi="仿宋" w:eastAsia="仿宋"/>
          <w:color w:val="000000"/>
          <w:sz w:val="32"/>
          <w:szCs w:val="32"/>
        </w:rPr>
        <w:t>可持续发展</w:t>
      </w:r>
      <w:r>
        <w:rPr>
          <w:rFonts w:hint="eastAsia" w:ascii="仿宋" w:hAnsi="仿宋" w:eastAsia="仿宋"/>
          <w:color w:val="000000"/>
          <w:sz w:val="32"/>
          <w:szCs w:val="32"/>
        </w:rPr>
        <w:t>与</w:t>
      </w:r>
      <w:r>
        <w:rPr>
          <w:rFonts w:ascii="仿宋" w:hAnsi="仿宋" w:eastAsia="仿宋"/>
          <w:color w:val="000000"/>
          <w:sz w:val="32"/>
          <w:szCs w:val="32"/>
        </w:rPr>
        <w:t>治理创新</w:t>
      </w:r>
      <w:r>
        <w:rPr>
          <w:rFonts w:hint="eastAsia" w:ascii="仿宋" w:hAnsi="仿宋" w:eastAsia="仿宋"/>
          <w:color w:val="000000"/>
          <w:sz w:val="32"/>
          <w:szCs w:val="32"/>
        </w:rPr>
        <w:t>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77.教育治理能力现代化与学校办学活力激发研究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78.教育督导与学校办学质量评价与</w:t>
      </w:r>
      <w:r>
        <w:rPr>
          <w:rFonts w:ascii="仿宋" w:hAnsi="仿宋" w:eastAsia="仿宋"/>
          <w:color w:val="000000"/>
          <w:sz w:val="32"/>
          <w:szCs w:val="32"/>
        </w:rPr>
        <w:t>监测</w:t>
      </w:r>
      <w:r>
        <w:rPr>
          <w:rFonts w:hint="eastAsia" w:ascii="仿宋" w:hAnsi="仿宋" w:eastAsia="仿宋"/>
          <w:color w:val="000000"/>
          <w:sz w:val="32"/>
          <w:szCs w:val="32"/>
        </w:rPr>
        <w:t>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79</w:t>
      </w:r>
      <w:r>
        <w:rPr>
          <w:rFonts w:hint="eastAsia" w:ascii="仿宋" w:hAnsi="仿宋" w:eastAsia="仿宋"/>
          <w:color w:val="000000"/>
          <w:sz w:val="32"/>
          <w:szCs w:val="32"/>
        </w:rPr>
        <w:t>．</w:t>
      </w:r>
      <w:r>
        <w:rPr>
          <w:rFonts w:ascii="仿宋" w:hAnsi="仿宋" w:eastAsia="仿宋"/>
          <w:color w:val="000000"/>
          <w:sz w:val="32"/>
          <w:szCs w:val="32"/>
        </w:rPr>
        <w:t>信息技术与学科教学深度融合实践研究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</w:t>
      </w:r>
      <w:r>
        <w:rPr>
          <w:rFonts w:ascii="仿宋" w:hAnsi="仿宋" w:eastAsia="仿宋"/>
          <w:color w:val="000000"/>
          <w:sz w:val="32"/>
          <w:szCs w:val="32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.大中小幼劳动教育课程建设研究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/>
          <w:color w:val="000000"/>
          <w:sz w:val="32"/>
          <w:szCs w:val="32"/>
        </w:rPr>
        <w:t>.中小学课程育德实践研究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</w:t>
      </w:r>
      <w:r>
        <w:rPr>
          <w:rFonts w:ascii="仿宋" w:hAnsi="仿宋" w:eastAsia="仿宋"/>
          <w:color w:val="000000"/>
          <w:sz w:val="32"/>
          <w:szCs w:val="32"/>
        </w:rPr>
        <w:t>2.教育事业单位内部控制制度建设研究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</w:t>
      </w:r>
      <w:r>
        <w:rPr>
          <w:rFonts w:ascii="仿宋" w:hAnsi="仿宋" w:eastAsia="仿宋"/>
          <w:color w:val="000000"/>
          <w:sz w:val="32"/>
          <w:szCs w:val="32"/>
        </w:rPr>
        <w:t>3.政府会计制度改革背景下的教育会计工作衔接研究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</w:t>
      </w:r>
      <w:r>
        <w:rPr>
          <w:rFonts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重庆市终身学习体系研究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8</w:t>
      </w:r>
      <w:r>
        <w:rPr>
          <w:rFonts w:ascii="仿宋" w:hAnsi="仿宋" w:eastAsia="仿宋"/>
          <w:color w:val="000000"/>
          <w:sz w:val="32"/>
          <w:szCs w:val="32"/>
        </w:rPr>
        <w:t>5.</w:t>
      </w:r>
      <w:r>
        <w:rPr>
          <w:rFonts w:hint="eastAsia" w:ascii="仿宋" w:hAnsi="仿宋" w:eastAsia="仿宋"/>
          <w:color w:val="000000"/>
          <w:sz w:val="32"/>
          <w:szCs w:val="32"/>
        </w:rPr>
        <w:t>重庆市学习型城市建设战略研究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86</w:t>
      </w:r>
      <w:r>
        <w:rPr>
          <w:rFonts w:hint="eastAsia" w:ascii="仿宋" w:hAnsi="仿宋" w:eastAsia="仿宋"/>
          <w:color w:val="000000"/>
          <w:sz w:val="32"/>
          <w:szCs w:val="32"/>
        </w:rPr>
        <w:t>.新时代基础教育教研工作深度转型实践路径研究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87</w:t>
      </w:r>
      <w:r>
        <w:rPr>
          <w:rFonts w:hint="eastAsia" w:ascii="仿宋" w:hAnsi="仿宋" w:eastAsia="仿宋"/>
          <w:color w:val="000000"/>
          <w:sz w:val="32"/>
          <w:szCs w:val="32"/>
        </w:rPr>
        <w:t>.学科教研与信息技术深度融合实践研究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88</w:t>
      </w:r>
      <w:r>
        <w:rPr>
          <w:rFonts w:hint="eastAsia" w:ascii="仿宋" w:hAnsi="仿宋" w:eastAsia="仿宋"/>
          <w:color w:val="000000"/>
          <w:sz w:val="32"/>
          <w:szCs w:val="32"/>
        </w:rPr>
        <w:t>.基于新课程新教材的教学评一致性实践研究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89.</w:t>
      </w:r>
      <w:r>
        <w:rPr>
          <w:rFonts w:hint="eastAsia" w:ascii="仿宋" w:hAnsi="仿宋" w:eastAsia="仿宋"/>
          <w:color w:val="000000"/>
          <w:sz w:val="32"/>
          <w:szCs w:val="32"/>
        </w:rPr>
        <w:t>民办学校内部控制规范研究</w:t>
      </w:r>
    </w:p>
    <w:p>
      <w:pPr>
        <w:snapToGrid w:val="0"/>
        <w:spacing w:line="600" w:lineRule="exact"/>
        <w:ind w:firstLine="640" w:firstLineChars="200"/>
        <w:jc w:val="left"/>
      </w:pPr>
      <w:r>
        <w:rPr>
          <w:rFonts w:hint="eastAsia" w:ascii="仿宋" w:hAnsi="仿宋" w:eastAsia="仿宋"/>
          <w:color w:val="000000"/>
          <w:sz w:val="32"/>
          <w:szCs w:val="32"/>
        </w:rPr>
        <w:t>9</w:t>
      </w:r>
      <w:r>
        <w:rPr>
          <w:rFonts w:ascii="仿宋" w:hAnsi="仿宋" w:eastAsia="仿宋"/>
          <w:color w:val="000000"/>
          <w:sz w:val="32"/>
          <w:szCs w:val="32"/>
        </w:rPr>
        <w:t>0.民办</w:t>
      </w:r>
      <w:r>
        <w:rPr>
          <w:rFonts w:hint="eastAsia" w:ascii="仿宋" w:hAnsi="仿宋" w:eastAsia="仿宋"/>
          <w:color w:val="000000"/>
          <w:sz w:val="32"/>
          <w:szCs w:val="32"/>
        </w:rPr>
        <w:t>学校高</w:t>
      </w:r>
      <w:r>
        <w:rPr>
          <w:rFonts w:ascii="仿宋" w:hAnsi="仿宋" w:eastAsia="仿宋"/>
          <w:color w:val="000000"/>
          <w:sz w:val="32"/>
          <w:szCs w:val="32"/>
        </w:rPr>
        <w:t>质量</w:t>
      </w:r>
      <w:r>
        <w:rPr>
          <w:rFonts w:hint="eastAsia" w:ascii="仿宋" w:hAnsi="仿宋" w:eastAsia="仿宋"/>
          <w:color w:val="000000"/>
          <w:sz w:val="32"/>
          <w:szCs w:val="32"/>
        </w:rPr>
        <w:t>内涵</w:t>
      </w:r>
      <w:r>
        <w:rPr>
          <w:rFonts w:ascii="仿宋" w:hAnsi="仿宋" w:eastAsia="仿宋"/>
          <w:color w:val="000000"/>
          <w:sz w:val="32"/>
          <w:szCs w:val="32"/>
        </w:rPr>
        <w:t>式发展战略研究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D31AA"/>
    <w:rsid w:val="29B66C82"/>
    <w:rsid w:val="55AD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2021-04-15T01:16:00Z</dcterms:created>
  <dc:creator>Zoe</dc:creator>
  <cp:lastModifiedBy>Zoe</cp:lastModifiedBy>
  <dcterms:modified xsi:type="dcterms:W3CDTF">2021-04-15T01:17:45Z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0E2E6F3C0CBA440F909CC3DD91815C07</vt:lpwstr>
  </property>
</Properties>
</file>